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0CE1" w14:textId="77777777" w:rsidR="0041482D" w:rsidRPr="005A3DC6" w:rsidRDefault="0041482D" w:rsidP="0041482D">
      <w:pPr>
        <w:jc w:val="center"/>
        <w:outlineLvl w:val="0"/>
        <w:rPr>
          <w:rFonts w:asciiTheme="minorHAnsi" w:hAnsiTheme="minorHAnsi" w:cstheme="minorHAnsi"/>
          <w:b/>
          <w:sz w:val="22"/>
          <w:szCs w:val="22"/>
        </w:rPr>
      </w:pPr>
      <w:r w:rsidRPr="005A3DC6">
        <w:rPr>
          <w:rFonts w:asciiTheme="minorHAnsi" w:hAnsiTheme="minorHAnsi" w:cstheme="minorHAnsi"/>
          <w:b/>
          <w:sz w:val="22"/>
          <w:szCs w:val="22"/>
        </w:rPr>
        <w:t xml:space="preserve">Zoning Board of Appeals </w:t>
      </w:r>
    </w:p>
    <w:p w14:paraId="4565D467" w14:textId="16CFC52D" w:rsidR="0041482D" w:rsidRPr="005A3DC6" w:rsidRDefault="005A3DC6" w:rsidP="005A3DC6">
      <w:pPr>
        <w:ind w:left="3600" w:firstLine="720"/>
        <w:outlineLvl w:val="0"/>
        <w:rPr>
          <w:rFonts w:asciiTheme="minorHAnsi" w:hAnsiTheme="minorHAnsi" w:cstheme="minorHAnsi"/>
          <w:b/>
          <w:sz w:val="22"/>
          <w:szCs w:val="22"/>
        </w:rPr>
      </w:pPr>
      <w:r w:rsidRPr="005A3DC6">
        <w:rPr>
          <w:rFonts w:asciiTheme="minorHAnsi" w:hAnsiTheme="minorHAnsi" w:cstheme="minorHAnsi"/>
          <w:b/>
          <w:sz w:val="22"/>
          <w:szCs w:val="22"/>
        </w:rPr>
        <w:t>20</w:t>
      </w:r>
      <w:r w:rsidRPr="005A3DC6">
        <w:rPr>
          <w:rFonts w:asciiTheme="minorHAnsi" w:hAnsiTheme="minorHAnsi" w:cstheme="minorHAnsi"/>
          <w:b/>
          <w:sz w:val="22"/>
          <w:szCs w:val="22"/>
          <w:vertAlign w:val="superscript"/>
        </w:rPr>
        <w:t>th</w:t>
      </w:r>
      <w:r w:rsidRPr="005A3DC6">
        <w:rPr>
          <w:rFonts w:asciiTheme="minorHAnsi" w:hAnsiTheme="minorHAnsi" w:cstheme="minorHAnsi"/>
          <w:b/>
          <w:sz w:val="22"/>
          <w:szCs w:val="22"/>
        </w:rPr>
        <w:t xml:space="preserve"> </w:t>
      </w:r>
      <w:r w:rsidR="0041482D" w:rsidRPr="005A3DC6">
        <w:rPr>
          <w:rFonts w:asciiTheme="minorHAnsi" w:hAnsiTheme="minorHAnsi" w:cstheme="minorHAnsi"/>
          <w:b/>
          <w:sz w:val="22"/>
          <w:szCs w:val="22"/>
        </w:rPr>
        <w:t xml:space="preserve"> Agenda</w:t>
      </w:r>
    </w:p>
    <w:p w14:paraId="6E9243E3" w14:textId="62FC7213" w:rsidR="0041482D" w:rsidRPr="005A3DC6" w:rsidRDefault="0041482D" w:rsidP="0041482D">
      <w:pPr>
        <w:jc w:val="center"/>
        <w:outlineLvl w:val="0"/>
        <w:rPr>
          <w:rFonts w:asciiTheme="minorHAnsi" w:hAnsiTheme="minorHAnsi" w:cstheme="minorHAnsi"/>
          <w:b/>
          <w:sz w:val="22"/>
          <w:szCs w:val="22"/>
        </w:rPr>
      </w:pPr>
      <w:r w:rsidRPr="005A3DC6">
        <w:rPr>
          <w:rFonts w:asciiTheme="minorHAnsi" w:hAnsiTheme="minorHAnsi" w:cstheme="minorHAnsi"/>
          <w:b/>
          <w:sz w:val="22"/>
          <w:szCs w:val="22"/>
        </w:rPr>
        <w:t>November 4, 2021</w:t>
      </w:r>
    </w:p>
    <w:p w14:paraId="7C435ED0" w14:textId="77777777" w:rsidR="0041482D" w:rsidRPr="005A3DC6" w:rsidRDefault="0041482D" w:rsidP="0041482D">
      <w:pPr>
        <w:jc w:val="center"/>
        <w:outlineLvl w:val="0"/>
        <w:rPr>
          <w:rFonts w:asciiTheme="minorHAnsi" w:hAnsiTheme="minorHAnsi" w:cstheme="minorHAnsi"/>
          <w:b/>
          <w:sz w:val="22"/>
          <w:szCs w:val="22"/>
        </w:rPr>
      </w:pPr>
      <w:r w:rsidRPr="005A3DC6">
        <w:rPr>
          <w:rFonts w:asciiTheme="minorHAnsi" w:hAnsiTheme="minorHAnsi" w:cstheme="minorHAnsi"/>
          <w:b/>
          <w:sz w:val="22"/>
          <w:szCs w:val="22"/>
        </w:rPr>
        <w:t>7:00 PM</w:t>
      </w:r>
    </w:p>
    <w:p w14:paraId="3F993B70" w14:textId="77777777" w:rsidR="0041482D" w:rsidRPr="005A3DC6" w:rsidRDefault="0041482D" w:rsidP="0041482D">
      <w:pPr>
        <w:jc w:val="center"/>
        <w:outlineLvl w:val="0"/>
        <w:rPr>
          <w:rFonts w:asciiTheme="minorHAnsi" w:hAnsiTheme="minorHAnsi" w:cstheme="minorHAnsi"/>
          <w:b/>
          <w:sz w:val="22"/>
          <w:szCs w:val="22"/>
        </w:rPr>
      </w:pPr>
    </w:p>
    <w:p w14:paraId="748A047C" w14:textId="77777777" w:rsidR="0041482D" w:rsidRPr="005A3DC6" w:rsidRDefault="0041482D" w:rsidP="0041482D">
      <w:pPr>
        <w:outlineLvl w:val="0"/>
        <w:rPr>
          <w:rFonts w:asciiTheme="minorHAnsi" w:hAnsiTheme="minorHAnsi" w:cstheme="minorHAnsi"/>
          <w:b/>
          <w:sz w:val="22"/>
          <w:szCs w:val="22"/>
        </w:rPr>
      </w:pPr>
    </w:p>
    <w:p w14:paraId="6708C0BF" w14:textId="238BD179" w:rsidR="005A3DC6" w:rsidRPr="005A3DC6" w:rsidRDefault="0041482D" w:rsidP="0041482D">
      <w:pPr>
        <w:jc w:val="center"/>
        <w:outlineLvl w:val="0"/>
        <w:rPr>
          <w:rFonts w:asciiTheme="minorHAnsi" w:hAnsiTheme="minorHAnsi" w:cstheme="minorHAnsi"/>
          <w:b/>
          <w:color w:val="FF0000"/>
          <w:sz w:val="22"/>
          <w:szCs w:val="22"/>
          <w:u w:val="single"/>
        </w:rPr>
      </w:pPr>
      <w:r w:rsidRPr="005A3DC6">
        <w:rPr>
          <w:rFonts w:asciiTheme="minorHAnsi" w:hAnsiTheme="minorHAnsi" w:cstheme="minorHAnsi"/>
          <w:b/>
          <w:color w:val="FF0000"/>
          <w:sz w:val="22"/>
          <w:szCs w:val="22"/>
          <w:u w:val="single"/>
        </w:rPr>
        <w:t>AGENDA</w:t>
      </w:r>
    </w:p>
    <w:p w14:paraId="02F78809" w14:textId="77777777" w:rsidR="0041482D" w:rsidRPr="005A3DC6" w:rsidRDefault="0041482D" w:rsidP="0041482D">
      <w:pPr>
        <w:jc w:val="center"/>
        <w:outlineLvl w:val="0"/>
        <w:rPr>
          <w:rFonts w:asciiTheme="minorHAnsi" w:hAnsiTheme="minorHAnsi" w:cstheme="minorHAnsi"/>
          <w:b/>
          <w:color w:val="FF0000"/>
          <w:sz w:val="22"/>
          <w:szCs w:val="22"/>
          <w:u w:val="single"/>
        </w:rPr>
      </w:pPr>
    </w:p>
    <w:p w14:paraId="2F19C9E2" w14:textId="77777777" w:rsidR="005A3DC6" w:rsidRPr="005A3DC6" w:rsidRDefault="005A3DC6" w:rsidP="005A3DC6">
      <w:pPr>
        <w:rPr>
          <w:rFonts w:asciiTheme="minorHAnsi" w:eastAsiaTheme="minorHAnsi" w:hAnsiTheme="minorHAnsi" w:cstheme="minorHAnsi"/>
          <w:b/>
          <w:sz w:val="22"/>
          <w:szCs w:val="22"/>
        </w:rPr>
      </w:pPr>
      <w:r w:rsidRPr="005A3DC6">
        <w:rPr>
          <w:rFonts w:asciiTheme="minorHAnsi" w:eastAsiaTheme="minorHAnsi" w:hAnsiTheme="minorHAnsi" w:cstheme="minorHAnsi"/>
          <w:b/>
          <w:sz w:val="22"/>
          <w:szCs w:val="22"/>
          <w:u w:val="single"/>
        </w:rPr>
        <w:t>DECISION</w:t>
      </w:r>
      <w:r w:rsidRPr="005A3DC6">
        <w:rPr>
          <w:rFonts w:asciiTheme="minorHAnsi" w:eastAsiaTheme="minorHAnsi" w:hAnsiTheme="minorHAnsi" w:cstheme="minorHAnsi"/>
          <w:b/>
          <w:sz w:val="22"/>
          <w:szCs w:val="22"/>
        </w:rPr>
        <w:t>:</w:t>
      </w:r>
    </w:p>
    <w:p w14:paraId="0B62A3D8" w14:textId="77777777" w:rsidR="005A3DC6" w:rsidRPr="005A3DC6" w:rsidRDefault="005A3DC6" w:rsidP="005A3DC6">
      <w:pPr>
        <w:rPr>
          <w:rFonts w:asciiTheme="minorHAnsi" w:eastAsiaTheme="minorHAnsi" w:hAnsiTheme="minorHAnsi" w:cstheme="minorHAnsi"/>
          <w:b/>
          <w:sz w:val="22"/>
          <w:szCs w:val="22"/>
        </w:rPr>
      </w:pPr>
    </w:p>
    <w:p w14:paraId="6234468C" w14:textId="77777777" w:rsidR="005A3DC6" w:rsidRPr="005A3DC6" w:rsidRDefault="005A3DC6" w:rsidP="005A3DC6">
      <w:pPr>
        <w:rPr>
          <w:rFonts w:asciiTheme="minorHAnsi" w:hAnsiTheme="minorHAnsi" w:cstheme="minorHAnsi"/>
          <w:b/>
          <w:sz w:val="22"/>
          <w:szCs w:val="22"/>
          <w:u w:val="single"/>
        </w:rPr>
      </w:pPr>
      <w:r w:rsidRPr="005A3DC6">
        <w:rPr>
          <w:rFonts w:asciiTheme="minorHAnsi" w:hAnsiTheme="minorHAnsi" w:cstheme="minorHAnsi"/>
          <w:b/>
          <w:sz w:val="22"/>
          <w:szCs w:val="22"/>
          <w:u w:val="single"/>
        </w:rPr>
        <w:t>Request of Jack Lieberman – App. #21-11 (Appeal)</w:t>
      </w:r>
    </w:p>
    <w:p w14:paraId="0A8341BA" w14:textId="77777777" w:rsidR="005A3DC6" w:rsidRPr="005A3DC6" w:rsidRDefault="005A3DC6" w:rsidP="005A3DC6">
      <w:pPr>
        <w:rPr>
          <w:rFonts w:asciiTheme="minorHAnsi" w:hAnsiTheme="minorHAnsi" w:cstheme="minorHAnsi"/>
          <w:sz w:val="22"/>
          <w:szCs w:val="22"/>
        </w:rPr>
      </w:pPr>
    </w:p>
    <w:p w14:paraId="687D4061" w14:textId="77777777" w:rsidR="005A3DC6" w:rsidRPr="005A3DC6" w:rsidRDefault="005A3DC6" w:rsidP="005A3DC6">
      <w:pPr>
        <w:rPr>
          <w:rFonts w:asciiTheme="minorHAnsi" w:hAnsiTheme="minorHAnsi" w:cstheme="minorHAnsi"/>
          <w:sz w:val="22"/>
          <w:szCs w:val="22"/>
        </w:rPr>
      </w:pPr>
      <w:r w:rsidRPr="005A3DC6">
        <w:rPr>
          <w:rFonts w:asciiTheme="minorHAnsi" w:hAnsiTheme="minorHAnsi" w:cstheme="minorHAnsi"/>
          <w:sz w:val="22"/>
          <w:szCs w:val="22"/>
        </w:rPr>
        <w:t>An appeal of the Building Inspector’s determination “that the floor area ratio (F.A.R.) is applicable to the residential portions of the project” per Building Inspector’s letter dated July 14, 2021, at 111 South Liberty Drive, Stony Point, New York.</w:t>
      </w:r>
    </w:p>
    <w:p w14:paraId="281BB1D7" w14:textId="77777777" w:rsidR="005A3DC6" w:rsidRPr="005A3DC6" w:rsidRDefault="005A3DC6" w:rsidP="005A3DC6">
      <w:pPr>
        <w:rPr>
          <w:rFonts w:asciiTheme="minorHAnsi" w:hAnsiTheme="minorHAnsi" w:cstheme="minorHAnsi"/>
          <w:sz w:val="22"/>
          <w:szCs w:val="22"/>
        </w:rPr>
      </w:pPr>
    </w:p>
    <w:p w14:paraId="49824E76" w14:textId="77777777" w:rsidR="005A3DC6" w:rsidRPr="005A3DC6" w:rsidRDefault="005A3DC6" w:rsidP="005A3DC6">
      <w:pPr>
        <w:rPr>
          <w:rFonts w:asciiTheme="minorHAnsi" w:hAnsiTheme="minorHAnsi" w:cstheme="minorHAnsi"/>
          <w:b/>
          <w:sz w:val="22"/>
          <w:szCs w:val="22"/>
        </w:rPr>
      </w:pPr>
      <w:r w:rsidRPr="005A3DC6">
        <w:rPr>
          <w:rFonts w:asciiTheme="minorHAnsi" w:hAnsiTheme="minorHAnsi" w:cstheme="minorHAnsi"/>
          <w:b/>
          <w:sz w:val="22"/>
          <w:szCs w:val="22"/>
        </w:rPr>
        <w:t>Section:  20.11          Block:  2          Lot:  29          Zone:  BU</w:t>
      </w:r>
    </w:p>
    <w:p w14:paraId="2708D80A" w14:textId="77777777" w:rsidR="005A3DC6" w:rsidRPr="005A3DC6" w:rsidRDefault="005A3DC6" w:rsidP="005A3DC6">
      <w:pPr>
        <w:rPr>
          <w:rFonts w:asciiTheme="minorHAnsi" w:hAnsiTheme="minorHAnsi" w:cstheme="minorHAnsi"/>
          <w:b/>
          <w:sz w:val="22"/>
          <w:szCs w:val="22"/>
        </w:rPr>
      </w:pPr>
    </w:p>
    <w:p w14:paraId="1954C2F0" w14:textId="77777777" w:rsidR="005A3DC6" w:rsidRPr="005A3DC6" w:rsidRDefault="005A3DC6" w:rsidP="005A3DC6">
      <w:pPr>
        <w:rPr>
          <w:rFonts w:asciiTheme="minorHAnsi" w:hAnsiTheme="minorHAnsi" w:cstheme="minorHAnsi"/>
          <w:b/>
          <w:sz w:val="22"/>
          <w:szCs w:val="22"/>
        </w:rPr>
      </w:pPr>
    </w:p>
    <w:p w14:paraId="63C739B7" w14:textId="77777777" w:rsidR="005A3DC6" w:rsidRPr="005A3DC6" w:rsidRDefault="005A3DC6" w:rsidP="005A3DC6">
      <w:pPr>
        <w:rPr>
          <w:rFonts w:asciiTheme="minorHAnsi" w:eastAsiaTheme="minorHAnsi" w:hAnsiTheme="minorHAnsi" w:cstheme="minorBidi"/>
          <w:b/>
          <w:sz w:val="22"/>
          <w:szCs w:val="22"/>
          <w:u w:val="single"/>
        </w:rPr>
      </w:pPr>
      <w:r w:rsidRPr="005A3DC6">
        <w:rPr>
          <w:rFonts w:asciiTheme="minorHAnsi" w:eastAsiaTheme="minorHAnsi" w:hAnsiTheme="minorHAnsi" w:cstheme="minorBidi"/>
          <w:b/>
          <w:sz w:val="22"/>
          <w:szCs w:val="22"/>
          <w:u w:val="single"/>
        </w:rPr>
        <w:t xml:space="preserve">DECISION: </w:t>
      </w:r>
    </w:p>
    <w:p w14:paraId="6CFE1B16" w14:textId="77777777" w:rsidR="005A3DC6" w:rsidRPr="005A3DC6" w:rsidRDefault="005A3DC6" w:rsidP="005A3DC6">
      <w:pPr>
        <w:rPr>
          <w:rFonts w:asciiTheme="minorHAnsi" w:eastAsiaTheme="minorHAnsi" w:hAnsiTheme="minorHAnsi" w:cstheme="minorBidi"/>
          <w:bCs/>
          <w:sz w:val="22"/>
          <w:szCs w:val="22"/>
        </w:rPr>
      </w:pPr>
    </w:p>
    <w:p w14:paraId="6B6213A0" w14:textId="77777777" w:rsidR="005A3DC6" w:rsidRPr="005A3DC6" w:rsidRDefault="005A3DC6" w:rsidP="005A3DC6">
      <w:pPr>
        <w:rPr>
          <w:rFonts w:asciiTheme="minorHAnsi" w:eastAsiaTheme="minorHAnsi" w:hAnsiTheme="minorHAnsi" w:cstheme="minorBidi"/>
          <w:b/>
          <w:sz w:val="22"/>
          <w:szCs w:val="22"/>
          <w:u w:val="single"/>
        </w:rPr>
      </w:pPr>
      <w:r w:rsidRPr="005A3DC6">
        <w:rPr>
          <w:rFonts w:asciiTheme="minorHAnsi" w:eastAsiaTheme="minorHAnsi" w:hAnsiTheme="minorHAnsi" w:cstheme="minorBidi"/>
          <w:b/>
          <w:sz w:val="22"/>
          <w:szCs w:val="22"/>
          <w:u w:val="single"/>
        </w:rPr>
        <w:t>Request of Jack Lieberman – App. #21-12 (appeal)</w:t>
      </w:r>
    </w:p>
    <w:p w14:paraId="2C97CC0D" w14:textId="77777777" w:rsidR="005A3DC6" w:rsidRPr="005A3DC6" w:rsidRDefault="005A3DC6" w:rsidP="005A3DC6">
      <w:pPr>
        <w:rPr>
          <w:rFonts w:asciiTheme="minorHAnsi" w:eastAsiaTheme="minorHAnsi" w:hAnsiTheme="minorHAnsi" w:cstheme="minorBidi"/>
          <w:sz w:val="22"/>
          <w:szCs w:val="22"/>
        </w:rPr>
      </w:pPr>
    </w:p>
    <w:p w14:paraId="567BC9FD" w14:textId="77777777" w:rsidR="005A3DC6" w:rsidRPr="005A3DC6" w:rsidRDefault="005A3DC6" w:rsidP="005A3DC6">
      <w:pPr>
        <w:rPr>
          <w:rFonts w:asciiTheme="minorHAnsi" w:eastAsiaTheme="minorHAnsi" w:hAnsiTheme="minorHAnsi" w:cstheme="minorBidi"/>
          <w:sz w:val="22"/>
          <w:szCs w:val="22"/>
        </w:rPr>
      </w:pPr>
      <w:r w:rsidRPr="005A3DC6">
        <w:rPr>
          <w:rFonts w:asciiTheme="minorHAnsi" w:eastAsiaTheme="minorHAnsi" w:hAnsiTheme="minorHAnsi" w:cstheme="minorBidi"/>
          <w:sz w:val="22"/>
          <w:szCs w:val="22"/>
        </w:rPr>
        <w:t>An appeal of the requirements of Chapter 215, Article 92 Section 2 – Residential mixed use in the BU Zoning District.  Residences shall be permitted by conditional use permit of the Planning Board in the BU district subject to the following conditions:</w:t>
      </w:r>
    </w:p>
    <w:p w14:paraId="6600E2BF" w14:textId="77777777" w:rsidR="005A3DC6" w:rsidRPr="005A3DC6" w:rsidRDefault="005A3DC6" w:rsidP="005A3DC6">
      <w:pPr>
        <w:rPr>
          <w:rFonts w:asciiTheme="minorHAnsi" w:eastAsiaTheme="minorHAnsi" w:hAnsiTheme="minorHAnsi" w:cstheme="minorBidi"/>
          <w:sz w:val="22"/>
          <w:szCs w:val="22"/>
        </w:rPr>
      </w:pPr>
    </w:p>
    <w:p w14:paraId="4B07B28C" w14:textId="77777777" w:rsidR="005A3DC6" w:rsidRPr="005A3DC6" w:rsidRDefault="005A3DC6" w:rsidP="005A3DC6">
      <w:pPr>
        <w:numPr>
          <w:ilvl w:val="0"/>
          <w:numId w:val="2"/>
        </w:numPr>
        <w:spacing w:line="276" w:lineRule="auto"/>
        <w:contextualSpacing/>
        <w:rPr>
          <w:rFonts w:asciiTheme="minorHAnsi" w:eastAsiaTheme="minorHAnsi" w:hAnsiTheme="minorHAnsi" w:cstheme="minorBidi"/>
          <w:sz w:val="22"/>
          <w:szCs w:val="22"/>
        </w:rPr>
      </w:pPr>
      <w:r w:rsidRPr="005A3DC6">
        <w:rPr>
          <w:rFonts w:asciiTheme="minorHAnsi" w:eastAsiaTheme="minorHAnsi" w:hAnsiTheme="minorHAnsi" w:cstheme="minorBidi"/>
          <w:sz w:val="22"/>
          <w:szCs w:val="22"/>
        </w:rPr>
        <w:t xml:space="preserve">Outdoor recreational space = at least 200 square feet of unpaved outdoor recreational area shall be provided per unit except that such area may contain block paver areas serving as a patio.  </w:t>
      </w:r>
    </w:p>
    <w:p w14:paraId="015973B0" w14:textId="77777777" w:rsidR="005A3DC6" w:rsidRPr="005A3DC6" w:rsidRDefault="005A3DC6" w:rsidP="005A3DC6">
      <w:pPr>
        <w:ind w:left="1080"/>
        <w:contextualSpacing/>
        <w:rPr>
          <w:rFonts w:asciiTheme="minorHAnsi" w:eastAsiaTheme="minorHAnsi" w:hAnsiTheme="minorHAnsi" w:cstheme="minorBidi"/>
          <w:sz w:val="22"/>
          <w:szCs w:val="22"/>
        </w:rPr>
      </w:pPr>
    </w:p>
    <w:p w14:paraId="5FB7DDB5" w14:textId="77777777" w:rsidR="005A3DC6" w:rsidRPr="005A3DC6" w:rsidRDefault="005A3DC6" w:rsidP="005A3DC6">
      <w:pPr>
        <w:rPr>
          <w:rFonts w:asciiTheme="minorHAnsi" w:eastAsiaTheme="minorHAnsi" w:hAnsiTheme="minorHAnsi" w:cstheme="minorBidi"/>
          <w:sz w:val="22"/>
          <w:szCs w:val="22"/>
        </w:rPr>
      </w:pPr>
      <w:r w:rsidRPr="005A3DC6">
        <w:rPr>
          <w:rFonts w:asciiTheme="minorHAnsi" w:eastAsiaTheme="minorHAnsi" w:hAnsiTheme="minorHAnsi" w:cstheme="minorBidi"/>
          <w:sz w:val="22"/>
          <w:szCs w:val="22"/>
        </w:rPr>
        <w:t>for an appeal of the outdoor recreational space letter dated March 26, 2021, at 111 South Liberty Drive, Stony Point, New York.</w:t>
      </w:r>
    </w:p>
    <w:p w14:paraId="2BC1607E" w14:textId="77777777" w:rsidR="005A3DC6" w:rsidRPr="005A3DC6" w:rsidRDefault="005A3DC6" w:rsidP="005A3DC6">
      <w:pPr>
        <w:rPr>
          <w:rFonts w:asciiTheme="minorHAnsi" w:eastAsiaTheme="minorHAnsi" w:hAnsiTheme="minorHAnsi" w:cstheme="minorBidi"/>
          <w:sz w:val="22"/>
          <w:szCs w:val="22"/>
        </w:rPr>
      </w:pPr>
    </w:p>
    <w:p w14:paraId="349F8AC1" w14:textId="77777777" w:rsidR="005A3DC6" w:rsidRPr="005A3DC6" w:rsidRDefault="005A3DC6" w:rsidP="005A3DC6">
      <w:pPr>
        <w:rPr>
          <w:rFonts w:asciiTheme="minorHAnsi" w:eastAsiaTheme="minorHAnsi" w:hAnsiTheme="minorHAnsi" w:cstheme="minorBidi"/>
          <w:sz w:val="22"/>
          <w:szCs w:val="22"/>
        </w:rPr>
      </w:pPr>
    </w:p>
    <w:p w14:paraId="679AE4CE" w14:textId="77777777" w:rsidR="005A3DC6" w:rsidRPr="005A3DC6" w:rsidRDefault="005A3DC6" w:rsidP="005A3DC6">
      <w:pPr>
        <w:rPr>
          <w:rFonts w:asciiTheme="minorHAnsi" w:eastAsiaTheme="minorHAnsi" w:hAnsiTheme="minorHAnsi" w:cstheme="minorBidi"/>
          <w:b/>
          <w:sz w:val="22"/>
          <w:szCs w:val="22"/>
        </w:rPr>
      </w:pPr>
      <w:r w:rsidRPr="005A3DC6">
        <w:rPr>
          <w:rFonts w:asciiTheme="minorHAnsi" w:eastAsiaTheme="minorHAnsi" w:hAnsiTheme="minorHAnsi" w:cstheme="minorBidi"/>
          <w:b/>
          <w:sz w:val="22"/>
          <w:szCs w:val="22"/>
        </w:rPr>
        <w:t>Section:  20.11          Block:  2          Lot:  29          Zone:  BU</w:t>
      </w:r>
    </w:p>
    <w:p w14:paraId="3C4892BF" w14:textId="77777777" w:rsidR="005A3DC6" w:rsidRPr="005A3DC6" w:rsidRDefault="005A3DC6" w:rsidP="005A3DC6">
      <w:pPr>
        <w:rPr>
          <w:rFonts w:asciiTheme="minorHAnsi" w:hAnsiTheme="minorHAnsi" w:cstheme="minorHAnsi"/>
          <w:b/>
          <w:sz w:val="22"/>
          <w:szCs w:val="22"/>
          <w:u w:val="single"/>
        </w:rPr>
      </w:pPr>
    </w:p>
    <w:p w14:paraId="5D474034" w14:textId="55D74391" w:rsidR="0041482D" w:rsidRDefault="0041482D" w:rsidP="0041482D">
      <w:pPr>
        <w:rPr>
          <w:rFonts w:asciiTheme="minorHAnsi" w:eastAsiaTheme="minorHAnsi" w:hAnsiTheme="minorHAnsi" w:cstheme="minorBidi"/>
          <w:b/>
          <w:sz w:val="22"/>
          <w:szCs w:val="22"/>
        </w:rPr>
      </w:pPr>
      <w:bookmarkStart w:id="0" w:name="_Hlk76471908"/>
    </w:p>
    <w:p w14:paraId="3E47E5E5" w14:textId="77777777" w:rsidR="005A3DC6" w:rsidRPr="005A3DC6" w:rsidRDefault="005A3DC6" w:rsidP="0041482D">
      <w:pPr>
        <w:rPr>
          <w:rFonts w:asciiTheme="minorHAnsi" w:eastAsiaTheme="minorHAnsi" w:hAnsiTheme="minorHAnsi" w:cstheme="minorBidi"/>
          <w:b/>
          <w:sz w:val="22"/>
          <w:szCs w:val="22"/>
        </w:rPr>
      </w:pPr>
    </w:p>
    <w:p w14:paraId="371650B0" w14:textId="03D9EBDA" w:rsidR="005A3DC6" w:rsidRPr="005A3DC6" w:rsidRDefault="005A3DC6" w:rsidP="005A3DC6">
      <w:pPr>
        <w:outlineLvl w:val="0"/>
        <w:rPr>
          <w:rFonts w:asciiTheme="minorHAnsi" w:hAnsiTheme="minorHAnsi" w:cstheme="minorHAnsi"/>
          <w:b/>
          <w:sz w:val="22"/>
          <w:szCs w:val="22"/>
        </w:rPr>
      </w:pPr>
      <w:r w:rsidRPr="005A3DC6">
        <w:rPr>
          <w:rFonts w:asciiTheme="minorHAnsi" w:hAnsiTheme="minorHAnsi" w:cstheme="minorHAnsi"/>
          <w:b/>
          <w:sz w:val="22"/>
          <w:szCs w:val="22"/>
          <w:u w:val="single"/>
        </w:rPr>
        <w:t>PUBLIC HEARING</w:t>
      </w:r>
      <w:r w:rsidRPr="005A3DC6">
        <w:rPr>
          <w:rFonts w:asciiTheme="minorHAnsi" w:hAnsiTheme="minorHAnsi" w:cstheme="minorHAnsi"/>
          <w:b/>
          <w:sz w:val="22"/>
          <w:szCs w:val="22"/>
        </w:rPr>
        <w:t>:</w:t>
      </w:r>
    </w:p>
    <w:p w14:paraId="6E224BB9" w14:textId="77777777" w:rsidR="005A3DC6" w:rsidRPr="005A3DC6" w:rsidRDefault="005A3DC6" w:rsidP="005A3DC6">
      <w:pPr>
        <w:outlineLvl w:val="0"/>
        <w:rPr>
          <w:rFonts w:asciiTheme="minorHAnsi" w:hAnsiTheme="minorHAnsi" w:cstheme="minorHAnsi"/>
          <w:b/>
          <w:sz w:val="22"/>
          <w:szCs w:val="22"/>
        </w:rPr>
      </w:pPr>
    </w:p>
    <w:p w14:paraId="34BFE59A" w14:textId="77777777" w:rsidR="005A3DC6" w:rsidRPr="005A3DC6" w:rsidRDefault="005A3DC6" w:rsidP="005A3DC6">
      <w:pPr>
        <w:rPr>
          <w:rFonts w:asciiTheme="minorHAnsi" w:eastAsiaTheme="minorHAnsi" w:hAnsiTheme="minorHAnsi" w:cstheme="minorBidi"/>
          <w:b/>
          <w:sz w:val="22"/>
          <w:szCs w:val="22"/>
          <w:u w:val="single"/>
        </w:rPr>
      </w:pPr>
      <w:r w:rsidRPr="005A3DC6">
        <w:rPr>
          <w:rFonts w:asciiTheme="minorHAnsi" w:eastAsiaTheme="minorHAnsi" w:hAnsiTheme="minorHAnsi" w:cstheme="minorBidi"/>
          <w:b/>
          <w:sz w:val="22"/>
          <w:szCs w:val="22"/>
          <w:u w:val="single"/>
        </w:rPr>
        <w:t>Request of Bruce Miller – App. #21-17 (area variances (4))</w:t>
      </w:r>
    </w:p>
    <w:p w14:paraId="40D82647" w14:textId="77777777" w:rsidR="005A3DC6" w:rsidRPr="005A3DC6" w:rsidRDefault="005A3DC6" w:rsidP="005A3DC6">
      <w:pPr>
        <w:rPr>
          <w:rFonts w:asciiTheme="minorHAnsi" w:eastAsiaTheme="minorHAnsi" w:hAnsiTheme="minorHAnsi" w:cstheme="minorBidi"/>
          <w:b/>
          <w:sz w:val="22"/>
          <w:szCs w:val="22"/>
        </w:rPr>
      </w:pPr>
    </w:p>
    <w:p w14:paraId="3F4149C2" w14:textId="77777777" w:rsidR="005A3DC6" w:rsidRPr="005A3DC6" w:rsidRDefault="005A3DC6" w:rsidP="005A3DC6">
      <w:pPr>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A variance from the requirements of:</w:t>
      </w:r>
    </w:p>
    <w:p w14:paraId="46B77AC2" w14:textId="77777777" w:rsidR="005A3DC6" w:rsidRPr="005A3DC6" w:rsidRDefault="005A3DC6" w:rsidP="005A3DC6">
      <w:pPr>
        <w:rPr>
          <w:rFonts w:asciiTheme="minorHAnsi" w:eastAsiaTheme="minorHAnsi" w:hAnsiTheme="minorHAnsi" w:cstheme="minorBidi"/>
          <w:bCs/>
          <w:sz w:val="22"/>
          <w:szCs w:val="22"/>
        </w:rPr>
      </w:pPr>
    </w:p>
    <w:p w14:paraId="07ED31CE" w14:textId="77777777" w:rsidR="005A3DC6" w:rsidRPr="005A3DC6" w:rsidRDefault="005A3DC6" w:rsidP="005A3DC6">
      <w:pPr>
        <w:numPr>
          <w:ilvl w:val="0"/>
          <w:numId w:val="3"/>
        </w:numPr>
        <w:spacing w:after="200" w:line="276" w:lineRule="auto"/>
        <w:contextualSpacing/>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Chapter 215, Article V, section 15 A – use d.1, column 7 – minimum 10 feet rear and side yard depth required; 5 feet rear depth provided; 5 feet variance necessary; and</w:t>
      </w:r>
    </w:p>
    <w:p w14:paraId="319C70B2" w14:textId="77777777" w:rsidR="005A3DC6" w:rsidRPr="005A3DC6" w:rsidRDefault="005A3DC6" w:rsidP="005A3DC6">
      <w:pPr>
        <w:numPr>
          <w:ilvl w:val="0"/>
          <w:numId w:val="3"/>
        </w:numPr>
        <w:spacing w:after="200" w:line="276" w:lineRule="auto"/>
        <w:contextualSpacing/>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Chapter 215, Article V, section 15 A – use d.1, column 10; maximum development coverage 20%; coverage of 25% proposed; 5%  coverage variance necessary; and</w:t>
      </w:r>
    </w:p>
    <w:p w14:paraId="599C33BB" w14:textId="77777777" w:rsidR="005A3DC6" w:rsidRPr="005A3DC6" w:rsidRDefault="005A3DC6" w:rsidP="005A3DC6">
      <w:pPr>
        <w:numPr>
          <w:ilvl w:val="0"/>
          <w:numId w:val="3"/>
        </w:numPr>
        <w:spacing w:after="200" w:line="276" w:lineRule="auto"/>
        <w:contextualSpacing/>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Chapter 215, Article VII, section 15-30B – the distance between a principal building and an accessory building shall not be less than 15 feet; 13.7 feet spacing provided; 1.3 feet variance necessary; and</w:t>
      </w:r>
    </w:p>
    <w:p w14:paraId="58796952" w14:textId="77777777" w:rsidR="005A3DC6" w:rsidRPr="005A3DC6" w:rsidRDefault="005A3DC6" w:rsidP="005A3DC6">
      <w:pPr>
        <w:numPr>
          <w:ilvl w:val="0"/>
          <w:numId w:val="3"/>
        </w:numPr>
        <w:spacing w:after="200" w:line="276" w:lineRule="auto"/>
        <w:contextualSpacing/>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Chapter 215, Article VII, section 30 C – for any accessory building having a height in excess of 15 feet, the additional footage in excess of 15 feet shall be added to the rear and side yard requirements; 15’5” height proposed (accessory building); 5” variance necessary.</w:t>
      </w:r>
    </w:p>
    <w:p w14:paraId="44CA4734" w14:textId="77777777" w:rsidR="005A3DC6" w:rsidRPr="005A3DC6" w:rsidRDefault="005A3DC6" w:rsidP="005A3DC6">
      <w:pPr>
        <w:rPr>
          <w:rFonts w:asciiTheme="minorHAnsi" w:eastAsiaTheme="minorHAnsi" w:hAnsiTheme="minorHAnsi" w:cstheme="minorBidi"/>
          <w:bCs/>
          <w:sz w:val="22"/>
          <w:szCs w:val="22"/>
        </w:rPr>
      </w:pPr>
    </w:p>
    <w:p w14:paraId="1F1A7C9F" w14:textId="77777777" w:rsidR="005A3DC6" w:rsidRPr="005A3DC6" w:rsidRDefault="005A3DC6" w:rsidP="005A3DC6">
      <w:pPr>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 xml:space="preserve">For a detached garage located at 2 Lavender Lane, Tomkins Cove, New York.    </w:t>
      </w:r>
    </w:p>
    <w:p w14:paraId="562B945C" w14:textId="77777777" w:rsidR="005A3DC6" w:rsidRPr="005A3DC6" w:rsidRDefault="005A3DC6" w:rsidP="005A3DC6">
      <w:pPr>
        <w:rPr>
          <w:rFonts w:asciiTheme="minorHAnsi" w:eastAsiaTheme="minorHAnsi" w:hAnsiTheme="minorHAnsi" w:cstheme="minorBidi"/>
          <w:sz w:val="22"/>
          <w:szCs w:val="22"/>
        </w:rPr>
      </w:pPr>
    </w:p>
    <w:p w14:paraId="60E77AE4" w14:textId="77777777" w:rsidR="005A3DC6" w:rsidRPr="005A3DC6" w:rsidRDefault="005A3DC6" w:rsidP="005A3DC6">
      <w:pPr>
        <w:rPr>
          <w:rFonts w:asciiTheme="minorHAnsi" w:eastAsiaTheme="minorHAnsi" w:hAnsiTheme="minorHAnsi" w:cstheme="minorBidi"/>
          <w:b/>
          <w:sz w:val="22"/>
          <w:szCs w:val="22"/>
        </w:rPr>
      </w:pPr>
      <w:r w:rsidRPr="005A3DC6">
        <w:rPr>
          <w:rFonts w:asciiTheme="minorHAnsi" w:eastAsiaTheme="minorHAnsi" w:hAnsiTheme="minorHAnsi" w:cstheme="minorBidi"/>
          <w:b/>
          <w:sz w:val="22"/>
          <w:szCs w:val="22"/>
        </w:rPr>
        <w:t>Section:  10.03          Block:  1          Lot:  49          Zone:  RR</w:t>
      </w:r>
    </w:p>
    <w:p w14:paraId="23B1AD09" w14:textId="45EFE2E0" w:rsidR="005A3DC6" w:rsidRPr="005A3DC6" w:rsidRDefault="00250EFA" w:rsidP="005A3DC6">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br w:type="column"/>
      </w:r>
      <w:r w:rsidR="005A3DC6" w:rsidRPr="005A3DC6">
        <w:rPr>
          <w:rFonts w:asciiTheme="minorHAnsi" w:eastAsiaTheme="minorHAnsi" w:hAnsiTheme="minorHAnsi" w:cstheme="minorBidi"/>
          <w:b/>
          <w:sz w:val="22"/>
          <w:szCs w:val="22"/>
          <w:u w:val="single"/>
        </w:rPr>
        <w:lastRenderedPageBreak/>
        <w:t>Request of Mike Pappas – App. #21-16 (area variances (2))</w:t>
      </w:r>
    </w:p>
    <w:p w14:paraId="7247FC39" w14:textId="77777777" w:rsidR="005A3DC6" w:rsidRPr="005A3DC6" w:rsidRDefault="005A3DC6" w:rsidP="005A3DC6">
      <w:pPr>
        <w:rPr>
          <w:rFonts w:asciiTheme="minorHAnsi" w:eastAsiaTheme="minorHAnsi" w:hAnsiTheme="minorHAnsi" w:cstheme="minorBidi"/>
          <w:b/>
          <w:sz w:val="22"/>
          <w:szCs w:val="22"/>
        </w:rPr>
      </w:pPr>
    </w:p>
    <w:p w14:paraId="4EA3FB43" w14:textId="77777777" w:rsidR="005A3DC6" w:rsidRPr="005A3DC6" w:rsidRDefault="005A3DC6" w:rsidP="005A3DC6">
      <w:pPr>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A variance from the requirements of:</w:t>
      </w:r>
    </w:p>
    <w:p w14:paraId="03EB0A31" w14:textId="77777777" w:rsidR="005A3DC6" w:rsidRPr="005A3DC6" w:rsidRDefault="005A3DC6" w:rsidP="005A3DC6">
      <w:pPr>
        <w:rPr>
          <w:rFonts w:asciiTheme="minorHAnsi" w:eastAsiaTheme="minorHAnsi" w:hAnsiTheme="minorHAnsi" w:cstheme="minorBidi"/>
          <w:bCs/>
          <w:sz w:val="22"/>
          <w:szCs w:val="22"/>
        </w:rPr>
      </w:pPr>
    </w:p>
    <w:p w14:paraId="6AF2ACE6" w14:textId="77777777" w:rsidR="005A3DC6" w:rsidRPr="005A3DC6" w:rsidRDefault="005A3DC6" w:rsidP="005A3DC6">
      <w:pPr>
        <w:numPr>
          <w:ilvl w:val="0"/>
          <w:numId w:val="4"/>
        </w:numPr>
        <w:spacing w:after="200" w:line="276" w:lineRule="auto"/>
        <w:contextualSpacing/>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 xml:space="preserve">Chapter 215, Article V, section 15A – use h.2, column 4 – minimum 35 feet front yard depth and setback required; 11 feet front yard depth and setback provided; 24 feet variance necessary; and </w:t>
      </w:r>
    </w:p>
    <w:p w14:paraId="7ADFEF1C" w14:textId="77777777" w:rsidR="005A3DC6" w:rsidRPr="005A3DC6" w:rsidRDefault="005A3DC6" w:rsidP="005A3DC6">
      <w:pPr>
        <w:numPr>
          <w:ilvl w:val="0"/>
          <w:numId w:val="4"/>
        </w:numPr>
        <w:spacing w:after="200" w:line="276" w:lineRule="auto"/>
        <w:contextualSpacing/>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Chapter 215, Article V, section 15 A – use h.2, column 5 – minimum 50 feet combined front side yard setback required; 31.2 feet combined front yard setback provided; 18.8 feet variance necessary</w:t>
      </w:r>
    </w:p>
    <w:p w14:paraId="7BE4F33D" w14:textId="77777777" w:rsidR="005A3DC6" w:rsidRPr="005A3DC6" w:rsidRDefault="005A3DC6" w:rsidP="005A3DC6">
      <w:pPr>
        <w:ind w:left="1080"/>
        <w:contextualSpacing/>
        <w:rPr>
          <w:rFonts w:asciiTheme="minorHAnsi" w:eastAsiaTheme="minorHAnsi" w:hAnsiTheme="minorHAnsi" w:cstheme="minorBidi"/>
          <w:bCs/>
          <w:sz w:val="22"/>
          <w:szCs w:val="22"/>
        </w:rPr>
      </w:pPr>
    </w:p>
    <w:p w14:paraId="195464EC" w14:textId="77777777" w:rsidR="005A3DC6" w:rsidRPr="005A3DC6" w:rsidRDefault="005A3DC6" w:rsidP="005A3DC6">
      <w:pPr>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 xml:space="preserve">For additions and alterations for a two-family residence located at 33-35 Wood Avenue, Stony Point, New York.  </w:t>
      </w:r>
    </w:p>
    <w:p w14:paraId="55B06BA7" w14:textId="77777777" w:rsidR="005A3DC6" w:rsidRPr="005A3DC6" w:rsidRDefault="005A3DC6" w:rsidP="005A3DC6">
      <w:pPr>
        <w:rPr>
          <w:rFonts w:asciiTheme="minorHAnsi" w:eastAsiaTheme="minorHAnsi" w:hAnsiTheme="minorHAnsi" w:cstheme="minorBidi"/>
          <w:sz w:val="22"/>
          <w:szCs w:val="22"/>
        </w:rPr>
      </w:pPr>
    </w:p>
    <w:p w14:paraId="6C1ECF2A" w14:textId="140475F9" w:rsidR="005A3DC6" w:rsidRDefault="005A3DC6" w:rsidP="005A3DC6">
      <w:pPr>
        <w:rPr>
          <w:rFonts w:asciiTheme="minorHAnsi" w:eastAsiaTheme="minorHAnsi" w:hAnsiTheme="minorHAnsi" w:cstheme="minorBidi"/>
          <w:b/>
          <w:sz w:val="22"/>
          <w:szCs w:val="22"/>
        </w:rPr>
      </w:pPr>
      <w:r w:rsidRPr="005A3DC6">
        <w:rPr>
          <w:rFonts w:asciiTheme="minorHAnsi" w:eastAsiaTheme="minorHAnsi" w:hAnsiTheme="minorHAnsi" w:cstheme="minorBidi"/>
          <w:b/>
          <w:sz w:val="22"/>
          <w:szCs w:val="22"/>
        </w:rPr>
        <w:t>Section:  15.19          Block:  3          Lot:  39          Zone:  R1</w:t>
      </w:r>
    </w:p>
    <w:p w14:paraId="0A2E98CB" w14:textId="38A8543A" w:rsidR="005A3DC6" w:rsidRDefault="005A3DC6" w:rsidP="005A3DC6">
      <w:pPr>
        <w:rPr>
          <w:rFonts w:asciiTheme="minorHAnsi" w:eastAsiaTheme="minorHAnsi" w:hAnsiTheme="minorHAnsi" w:cstheme="minorBidi"/>
          <w:b/>
          <w:sz w:val="22"/>
          <w:szCs w:val="22"/>
        </w:rPr>
      </w:pPr>
    </w:p>
    <w:p w14:paraId="2CB3FC8E" w14:textId="0FEC9201" w:rsidR="005A3DC6" w:rsidRDefault="005A3DC6" w:rsidP="005A3DC6">
      <w:pPr>
        <w:rPr>
          <w:rFonts w:asciiTheme="minorHAnsi" w:eastAsiaTheme="minorHAnsi" w:hAnsiTheme="minorHAnsi" w:cstheme="minorBidi"/>
          <w:b/>
          <w:sz w:val="22"/>
          <w:szCs w:val="22"/>
        </w:rPr>
      </w:pPr>
    </w:p>
    <w:p w14:paraId="7D5513B5" w14:textId="6F59CC78" w:rsidR="005A3DC6" w:rsidRPr="005A3DC6" w:rsidRDefault="005A3DC6" w:rsidP="005A3DC6">
      <w:pPr>
        <w:rPr>
          <w:rFonts w:asciiTheme="minorHAnsi" w:eastAsiaTheme="minorHAnsi" w:hAnsiTheme="minorHAnsi" w:cstheme="minorBidi"/>
          <w:b/>
          <w:sz w:val="22"/>
          <w:szCs w:val="22"/>
          <w:u w:val="single"/>
        </w:rPr>
      </w:pPr>
      <w:r w:rsidRPr="005A3DC6">
        <w:rPr>
          <w:rFonts w:asciiTheme="minorHAnsi" w:eastAsiaTheme="minorHAnsi" w:hAnsiTheme="minorHAnsi" w:cstheme="minorBidi"/>
          <w:b/>
          <w:sz w:val="22"/>
          <w:szCs w:val="22"/>
          <w:u w:val="single"/>
        </w:rPr>
        <w:t xml:space="preserve">Request of </w:t>
      </w:r>
      <w:proofErr w:type="spellStart"/>
      <w:r w:rsidRPr="005A3DC6">
        <w:rPr>
          <w:rFonts w:asciiTheme="minorHAnsi" w:eastAsiaTheme="minorHAnsi" w:hAnsiTheme="minorHAnsi" w:cstheme="minorBidi"/>
          <w:b/>
          <w:sz w:val="22"/>
          <w:szCs w:val="22"/>
          <w:u w:val="single"/>
        </w:rPr>
        <w:t>Jianny</w:t>
      </w:r>
      <w:proofErr w:type="spellEnd"/>
      <w:r w:rsidRPr="005A3DC6">
        <w:rPr>
          <w:rFonts w:asciiTheme="minorHAnsi" w:eastAsiaTheme="minorHAnsi" w:hAnsiTheme="minorHAnsi" w:cstheme="minorBidi"/>
          <w:b/>
          <w:sz w:val="22"/>
          <w:szCs w:val="22"/>
          <w:u w:val="single"/>
        </w:rPr>
        <w:t xml:space="preserve"> Vallejo – App. #21-18 (area variance (2)</w:t>
      </w:r>
    </w:p>
    <w:p w14:paraId="43E211E5" w14:textId="77777777" w:rsidR="005A3DC6" w:rsidRPr="005A3DC6" w:rsidRDefault="005A3DC6" w:rsidP="005A3DC6">
      <w:pPr>
        <w:rPr>
          <w:rFonts w:asciiTheme="minorHAnsi" w:eastAsiaTheme="minorHAnsi" w:hAnsiTheme="minorHAnsi" w:cstheme="minorBidi"/>
          <w:b/>
          <w:sz w:val="22"/>
          <w:szCs w:val="22"/>
        </w:rPr>
      </w:pPr>
    </w:p>
    <w:p w14:paraId="52D563DE" w14:textId="77777777" w:rsidR="005A3DC6" w:rsidRPr="005A3DC6" w:rsidRDefault="005A3DC6" w:rsidP="005A3DC6">
      <w:pPr>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A variance from the requirements of:</w:t>
      </w:r>
    </w:p>
    <w:p w14:paraId="5F652825" w14:textId="77777777" w:rsidR="005A3DC6" w:rsidRPr="005A3DC6" w:rsidRDefault="005A3DC6" w:rsidP="005A3DC6">
      <w:pPr>
        <w:rPr>
          <w:rFonts w:asciiTheme="minorHAnsi" w:eastAsiaTheme="minorHAnsi" w:hAnsiTheme="minorHAnsi" w:cstheme="minorBidi"/>
          <w:bCs/>
          <w:sz w:val="22"/>
          <w:szCs w:val="22"/>
        </w:rPr>
      </w:pPr>
    </w:p>
    <w:p w14:paraId="46C1EDE1" w14:textId="77777777" w:rsidR="005A3DC6" w:rsidRPr="005A3DC6" w:rsidRDefault="005A3DC6" w:rsidP="005A3DC6">
      <w:pPr>
        <w:pStyle w:val="ListParagraph"/>
        <w:numPr>
          <w:ilvl w:val="0"/>
          <w:numId w:val="5"/>
        </w:numPr>
        <w:rPr>
          <w:bCs/>
        </w:rPr>
      </w:pPr>
      <w:r w:rsidRPr="005A3DC6">
        <w:rPr>
          <w:bCs/>
        </w:rPr>
        <w:t xml:space="preserve"> Chapter 215-22 – no principal structure shall be located any closer to any street or property line than the required minimum setback in the bulk table or the established </w:t>
      </w:r>
      <w:proofErr w:type="gramStart"/>
      <w:r w:rsidRPr="005A3DC6">
        <w:rPr>
          <w:bCs/>
        </w:rPr>
        <w:t>setback, if</w:t>
      </w:r>
      <w:proofErr w:type="gramEnd"/>
      <w:r w:rsidRPr="005A3DC6">
        <w:rPr>
          <w:bCs/>
        </w:rPr>
        <w:t xml:space="preserve"> such exists.  Accessory structures and uses are permitted within the required setback other than the front setback but not within any required yard, except as specifically authorized herein; and </w:t>
      </w:r>
    </w:p>
    <w:p w14:paraId="18CFB3CC" w14:textId="77777777" w:rsidR="005A3DC6" w:rsidRPr="005A3DC6" w:rsidRDefault="005A3DC6" w:rsidP="005A3DC6">
      <w:pPr>
        <w:pStyle w:val="ListParagraph"/>
        <w:numPr>
          <w:ilvl w:val="0"/>
          <w:numId w:val="5"/>
        </w:numPr>
        <w:rPr>
          <w:bCs/>
        </w:rPr>
      </w:pPr>
      <w:r w:rsidRPr="005A3DC6">
        <w:rPr>
          <w:bCs/>
        </w:rPr>
        <w:t xml:space="preserve">Chapter 215-26 – (corner lots) a front yard and front setback shall be required on a corner lot from each street line.  There shall be designated on the site plan which of the remaining yards or setbacks shall be the side and rear yard or setback, respectively.  In the event that only one side of such lot meets required street frontage, that side shall be considered the front yard for the purpose of determining the </w:t>
      </w:r>
      <w:proofErr w:type="spellStart"/>
      <w:r w:rsidRPr="005A3DC6">
        <w:rPr>
          <w:bCs/>
        </w:rPr>
        <w:t>rearyard</w:t>
      </w:r>
      <w:proofErr w:type="spellEnd"/>
      <w:r w:rsidRPr="005A3DC6">
        <w:rPr>
          <w:bCs/>
        </w:rPr>
        <w:t xml:space="preserve"> setback; 50 foot front yard setback required, 20 foot front yard setback provided, 30 foot variance needed for a 10 x 14 accessory shed located at 133 Mott Farm Road, Tomkins Cove, New York.  </w:t>
      </w:r>
    </w:p>
    <w:p w14:paraId="73315187" w14:textId="77777777" w:rsidR="005A3DC6" w:rsidRPr="005A3DC6" w:rsidRDefault="005A3DC6" w:rsidP="005A3DC6">
      <w:pPr>
        <w:rPr>
          <w:rFonts w:asciiTheme="minorHAnsi" w:eastAsiaTheme="minorHAnsi" w:hAnsiTheme="minorHAnsi" w:cstheme="minorBidi"/>
          <w:sz w:val="22"/>
          <w:szCs w:val="22"/>
        </w:rPr>
      </w:pPr>
    </w:p>
    <w:p w14:paraId="46119FA1" w14:textId="77777777" w:rsidR="005A3DC6" w:rsidRPr="005A3DC6" w:rsidRDefault="005A3DC6" w:rsidP="005A3DC6">
      <w:pPr>
        <w:rPr>
          <w:rFonts w:asciiTheme="minorHAnsi" w:eastAsiaTheme="minorHAnsi" w:hAnsiTheme="minorHAnsi" w:cstheme="minorBidi"/>
          <w:b/>
          <w:sz w:val="22"/>
          <w:szCs w:val="22"/>
        </w:rPr>
      </w:pPr>
      <w:r w:rsidRPr="005A3DC6">
        <w:rPr>
          <w:rFonts w:asciiTheme="minorHAnsi" w:eastAsiaTheme="minorHAnsi" w:hAnsiTheme="minorHAnsi" w:cstheme="minorBidi"/>
          <w:b/>
          <w:sz w:val="22"/>
          <w:szCs w:val="22"/>
        </w:rPr>
        <w:t>Section:  10.02          Block:  3          Lot:  41          Zone:  RR</w:t>
      </w:r>
    </w:p>
    <w:p w14:paraId="2D25B96F" w14:textId="77777777" w:rsidR="005A3DC6" w:rsidRPr="005A3DC6" w:rsidRDefault="005A3DC6" w:rsidP="005A3DC6">
      <w:pPr>
        <w:rPr>
          <w:rFonts w:asciiTheme="minorHAnsi" w:eastAsiaTheme="minorHAnsi" w:hAnsiTheme="minorHAnsi" w:cstheme="minorBidi"/>
          <w:b/>
          <w:sz w:val="22"/>
          <w:szCs w:val="22"/>
        </w:rPr>
      </w:pPr>
    </w:p>
    <w:p w14:paraId="1B4797EA" w14:textId="77777777" w:rsidR="005A3DC6" w:rsidRPr="005A3DC6" w:rsidRDefault="005A3DC6" w:rsidP="005A3DC6">
      <w:pPr>
        <w:rPr>
          <w:rFonts w:asciiTheme="minorHAnsi" w:eastAsiaTheme="minorHAnsi" w:hAnsiTheme="minorHAnsi" w:cstheme="minorBidi"/>
          <w:b/>
          <w:sz w:val="22"/>
          <w:szCs w:val="22"/>
        </w:rPr>
      </w:pPr>
    </w:p>
    <w:p w14:paraId="334699F9" w14:textId="15667F7D" w:rsidR="005A3DC6" w:rsidRPr="00FE4B26" w:rsidRDefault="005A3DC6" w:rsidP="005A3DC6">
      <w:pPr>
        <w:outlineLvl w:val="0"/>
        <w:rPr>
          <w:rFonts w:asciiTheme="minorHAnsi" w:eastAsiaTheme="minorHAnsi" w:hAnsiTheme="minorHAnsi" w:cstheme="minorBidi"/>
          <w:b/>
          <w:sz w:val="22"/>
          <w:szCs w:val="22"/>
          <w:u w:val="single"/>
        </w:rPr>
      </w:pPr>
    </w:p>
    <w:p w14:paraId="18358FDE" w14:textId="748E336C" w:rsidR="00FE4B26" w:rsidRPr="00FE4B26" w:rsidRDefault="00FE4B26" w:rsidP="005A3DC6">
      <w:pPr>
        <w:outlineLvl w:val="0"/>
        <w:rPr>
          <w:rFonts w:asciiTheme="minorHAnsi" w:eastAsiaTheme="minorHAnsi" w:hAnsiTheme="minorHAnsi" w:cstheme="minorBidi"/>
          <w:b/>
          <w:sz w:val="22"/>
          <w:szCs w:val="22"/>
        </w:rPr>
      </w:pPr>
      <w:r w:rsidRPr="00FE4B26">
        <w:rPr>
          <w:rFonts w:asciiTheme="minorHAnsi" w:eastAsiaTheme="minorHAnsi" w:hAnsiTheme="minorHAnsi" w:cstheme="minorBidi"/>
          <w:b/>
          <w:sz w:val="22"/>
          <w:szCs w:val="22"/>
          <w:u w:val="single"/>
        </w:rPr>
        <w:t>CONTINUED PUBLIC HEARING</w:t>
      </w:r>
      <w:r>
        <w:rPr>
          <w:rFonts w:asciiTheme="minorHAnsi" w:eastAsiaTheme="minorHAnsi" w:hAnsiTheme="minorHAnsi" w:cstheme="minorBidi"/>
          <w:b/>
          <w:sz w:val="22"/>
          <w:szCs w:val="22"/>
        </w:rPr>
        <w:t>:</w:t>
      </w:r>
    </w:p>
    <w:p w14:paraId="2EE889CE" w14:textId="29FB5E6E" w:rsidR="00FE4B26" w:rsidRDefault="00FE4B26" w:rsidP="005A3DC6">
      <w:pPr>
        <w:outlineLvl w:val="0"/>
        <w:rPr>
          <w:rFonts w:asciiTheme="minorHAnsi" w:eastAsiaTheme="minorHAnsi" w:hAnsiTheme="minorHAnsi" w:cstheme="minorBidi"/>
          <w:b/>
          <w:sz w:val="22"/>
          <w:szCs w:val="22"/>
          <w:u w:val="single"/>
        </w:rPr>
      </w:pPr>
    </w:p>
    <w:p w14:paraId="4D70B805" w14:textId="77777777" w:rsidR="005A3DC6" w:rsidRPr="005A3DC6" w:rsidRDefault="005A3DC6" w:rsidP="005A3DC6">
      <w:pPr>
        <w:rPr>
          <w:rFonts w:asciiTheme="minorHAnsi" w:eastAsiaTheme="minorHAnsi" w:hAnsiTheme="minorHAnsi" w:cstheme="minorBidi"/>
          <w:b/>
          <w:sz w:val="22"/>
          <w:szCs w:val="22"/>
          <w:u w:val="single"/>
        </w:rPr>
      </w:pPr>
      <w:r w:rsidRPr="005A3DC6">
        <w:rPr>
          <w:rFonts w:asciiTheme="minorHAnsi" w:eastAsiaTheme="minorHAnsi" w:hAnsiTheme="minorHAnsi" w:cstheme="minorBidi"/>
          <w:b/>
          <w:sz w:val="22"/>
          <w:szCs w:val="22"/>
          <w:u w:val="single"/>
        </w:rPr>
        <w:t>Request of Alexis Pinos – App. #21-10</w:t>
      </w:r>
    </w:p>
    <w:p w14:paraId="7850795F" w14:textId="77777777" w:rsidR="005A3DC6" w:rsidRPr="005A3DC6" w:rsidRDefault="005A3DC6" w:rsidP="005A3DC6">
      <w:pPr>
        <w:rPr>
          <w:rFonts w:asciiTheme="minorHAnsi" w:eastAsiaTheme="minorHAnsi" w:hAnsiTheme="minorHAnsi" w:cstheme="minorBidi"/>
          <w:b/>
          <w:sz w:val="22"/>
          <w:szCs w:val="22"/>
          <w:u w:val="single"/>
        </w:rPr>
      </w:pPr>
    </w:p>
    <w:p w14:paraId="424D1E62" w14:textId="77777777" w:rsidR="005A3DC6" w:rsidRPr="005A3DC6" w:rsidRDefault="005A3DC6" w:rsidP="005A3DC6">
      <w:pPr>
        <w:rPr>
          <w:rFonts w:asciiTheme="minorHAnsi" w:eastAsiaTheme="minorHAnsi" w:hAnsiTheme="minorHAnsi" w:cstheme="minorBidi"/>
          <w:bCs/>
          <w:sz w:val="22"/>
          <w:szCs w:val="22"/>
        </w:rPr>
      </w:pPr>
      <w:r w:rsidRPr="005A3DC6">
        <w:rPr>
          <w:rFonts w:asciiTheme="minorHAnsi" w:eastAsiaTheme="minorHAnsi" w:hAnsiTheme="minorHAnsi" w:cstheme="minorBidi"/>
          <w:bCs/>
          <w:sz w:val="22"/>
          <w:szCs w:val="22"/>
        </w:rPr>
        <w:t>A variance request for a use variance for non-residential use permitted in RR Zone for contractor’s storage unit located at 21 Blanchard Road, Stony Point, NY.</w:t>
      </w:r>
    </w:p>
    <w:p w14:paraId="23936C98" w14:textId="77777777" w:rsidR="005A3DC6" w:rsidRPr="005A3DC6" w:rsidRDefault="005A3DC6" w:rsidP="005A3DC6">
      <w:pPr>
        <w:rPr>
          <w:rFonts w:asciiTheme="minorHAnsi" w:eastAsiaTheme="minorHAnsi" w:hAnsiTheme="minorHAnsi" w:cstheme="minorBidi"/>
          <w:sz w:val="22"/>
          <w:szCs w:val="22"/>
        </w:rPr>
      </w:pPr>
    </w:p>
    <w:p w14:paraId="69B9D8A3" w14:textId="77777777" w:rsidR="005A3DC6" w:rsidRPr="005A3DC6" w:rsidRDefault="005A3DC6" w:rsidP="005A3DC6">
      <w:pPr>
        <w:rPr>
          <w:rFonts w:asciiTheme="minorHAnsi" w:eastAsiaTheme="minorHAnsi" w:hAnsiTheme="minorHAnsi" w:cstheme="minorBidi"/>
          <w:b/>
          <w:sz w:val="22"/>
          <w:szCs w:val="22"/>
        </w:rPr>
      </w:pPr>
      <w:r w:rsidRPr="005A3DC6">
        <w:rPr>
          <w:rFonts w:asciiTheme="minorHAnsi" w:eastAsiaTheme="minorHAnsi" w:hAnsiTheme="minorHAnsi" w:cstheme="minorBidi"/>
          <w:b/>
          <w:sz w:val="22"/>
          <w:szCs w:val="22"/>
        </w:rPr>
        <w:t>Section:  19.01          Block:  1          Lot:  18.3          Zone:  RR</w:t>
      </w:r>
    </w:p>
    <w:p w14:paraId="19B8C1C1" w14:textId="77777777" w:rsidR="005A3DC6" w:rsidRPr="005A3DC6" w:rsidRDefault="005A3DC6" w:rsidP="005A3DC6">
      <w:pPr>
        <w:rPr>
          <w:sz w:val="22"/>
          <w:szCs w:val="22"/>
        </w:rPr>
      </w:pPr>
    </w:p>
    <w:p w14:paraId="5FEDC91A" w14:textId="77777777" w:rsidR="005A3DC6" w:rsidRPr="005A3DC6" w:rsidRDefault="005A3DC6" w:rsidP="005A3DC6">
      <w:pPr>
        <w:rPr>
          <w:sz w:val="22"/>
          <w:szCs w:val="22"/>
        </w:rPr>
      </w:pPr>
    </w:p>
    <w:p w14:paraId="4048C8EE" w14:textId="77777777" w:rsidR="005A3DC6" w:rsidRPr="005A3DC6" w:rsidRDefault="005A3DC6" w:rsidP="005A3DC6">
      <w:pPr>
        <w:rPr>
          <w:sz w:val="22"/>
          <w:szCs w:val="22"/>
        </w:rPr>
      </w:pPr>
    </w:p>
    <w:p w14:paraId="46C6AD71" w14:textId="77777777" w:rsidR="005A3DC6" w:rsidRPr="005A3DC6" w:rsidRDefault="005A3DC6" w:rsidP="005A3DC6">
      <w:pPr>
        <w:rPr>
          <w:rFonts w:asciiTheme="minorHAnsi" w:hAnsiTheme="minorHAnsi" w:cstheme="minorHAnsi"/>
          <w:b/>
          <w:sz w:val="22"/>
          <w:szCs w:val="22"/>
          <w:u w:val="single"/>
        </w:rPr>
      </w:pPr>
      <w:r w:rsidRPr="005A3DC6">
        <w:rPr>
          <w:rFonts w:asciiTheme="minorHAnsi" w:hAnsiTheme="minorHAnsi" w:cstheme="minorHAnsi"/>
          <w:b/>
          <w:sz w:val="22"/>
          <w:szCs w:val="22"/>
          <w:u w:val="single"/>
        </w:rPr>
        <w:t>OTHER BUSINESS:</w:t>
      </w:r>
    </w:p>
    <w:p w14:paraId="4EF8A184" w14:textId="77777777" w:rsidR="005A3DC6" w:rsidRPr="005A3DC6" w:rsidRDefault="005A3DC6" w:rsidP="005A3DC6">
      <w:pPr>
        <w:rPr>
          <w:rFonts w:asciiTheme="minorHAnsi" w:hAnsiTheme="minorHAnsi" w:cstheme="minorHAnsi"/>
          <w:b/>
          <w:sz w:val="22"/>
          <w:szCs w:val="22"/>
          <w:u w:val="single"/>
        </w:rPr>
      </w:pPr>
    </w:p>
    <w:p w14:paraId="2C62ACA7" w14:textId="783A6387" w:rsidR="002F0C93" w:rsidRDefault="005A3DC6">
      <w:pPr>
        <w:rPr>
          <w:rFonts w:asciiTheme="minorHAnsi" w:hAnsiTheme="minorHAnsi" w:cstheme="minorHAnsi"/>
          <w:sz w:val="22"/>
          <w:szCs w:val="22"/>
        </w:rPr>
      </w:pPr>
      <w:r w:rsidRPr="005A3DC6">
        <w:rPr>
          <w:rFonts w:asciiTheme="minorHAnsi" w:hAnsiTheme="minorHAnsi" w:cstheme="minorHAnsi"/>
          <w:sz w:val="22"/>
          <w:szCs w:val="22"/>
        </w:rPr>
        <w:t xml:space="preserve">Minutes of September </w:t>
      </w:r>
      <w:bookmarkEnd w:id="0"/>
      <w:r w:rsidR="00FE4B26">
        <w:rPr>
          <w:rFonts w:asciiTheme="minorHAnsi" w:hAnsiTheme="minorHAnsi" w:cstheme="minorHAnsi"/>
          <w:sz w:val="22"/>
          <w:szCs w:val="22"/>
        </w:rPr>
        <w:t>16, 2021</w:t>
      </w:r>
    </w:p>
    <w:p w14:paraId="73092B6D" w14:textId="349C1BCB" w:rsidR="00FE4B26" w:rsidRDefault="00FE4B26">
      <w:pPr>
        <w:rPr>
          <w:rFonts w:asciiTheme="minorHAnsi" w:hAnsiTheme="minorHAnsi" w:cstheme="minorHAnsi"/>
          <w:sz w:val="22"/>
          <w:szCs w:val="22"/>
        </w:rPr>
      </w:pPr>
    </w:p>
    <w:p w14:paraId="7BD15C1D" w14:textId="77777777" w:rsidR="00FE4B26" w:rsidRPr="005A3DC6" w:rsidRDefault="00FE4B26">
      <w:pPr>
        <w:rPr>
          <w:sz w:val="22"/>
          <w:szCs w:val="22"/>
        </w:rPr>
      </w:pPr>
    </w:p>
    <w:sectPr w:rsidR="00FE4B26" w:rsidRPr="005A3DC6" w:rsidSect="005A3DC6">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7E6F" w14:textId="77777777" w:rsidR="00FE4B26" w:rsidRDefault="00FE4B26" w:rsidP="00FE4B26">
      <w:r>
        <w:separator/>
      </w:r>
    </w:p>
  </w:endnote>
  <w:endnote w:type="continuationSeparator" w:id="0">
    <w:p w14:paraId="207F31D5" w14:textId="77777777" w:rsidR="00FE4B26" w:rsidRDefault="00FE4B26" w:rsidP="00FE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4DD3" w14:textId="77777777" w:rsidR="00FE4B26" w:rsidRDefault="00FE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FA67" w14:textId="77777777" w:rsidR="00FE4B26" w:rsidRPr="00FE4B26" w:rsidRDefault="00FE4B26">
    <w:pPr>
      <w:pStyle w:val="Footer"/>
      <w:rPr>
        <w:rFonts w:asciiTheme="minorHAnsi" w:hAnsiTheme="minorHAnsi" w:cstheme="minorHAnsi"/>
        <w:b/>
        <w:bCs/>
        <w:color w:val="FF0000"/>
      </w:rPr>
    </w:pPr>
    <w:r w:rsidRPr="00FE4B26">
      <w:rPr>
        <w:rFonts w:asciiTheme="minorHAnsi" w:hAnsiTheme="minorHAnsi" w:cstheme="minorHAnsi"/>
        <w:b/>
        <w:bCs/>
        <w:color w:val="FF0000"/>
      </w:rPr>
      <w:t>Zoning Board of Appeals</w:t>
    </w:r>
  </w:p>
  <w:p w14:paraId="187F7BFF" w14:textId="1AB7C44E" w:rsidR="00FE4B26" w:rsidRPr="00FE4B26" w:rsidRDefault="00FE4B26">
    <w:pPr>
      <w:pStyle w:val="Footer"/>
      <w:rPr>
        <w:rFonts w:asciiTheme="minorHAnsi" w:hAnsiTheme="minorHAnsi" w:cstheme="minorHAnsi"/>
        <w:b/>
        <w:bCs/>
        <w:color w:val="FF0000"/>
      </w:rPr>
    </w:pPr>
    <w:r w:rsidRPr="00FE4B26">
      <w:rPr>
        <w:rFonts w:asciiTheme="minorHAnsi" w:hAnsiTheme="minorHAnsi" w:cstheme="minorHAnsi"/>
        <w:b/>
        <w:bCs/>
        <w:color w:val="FF0000"/>
      </w:rPr>
      <w:t xml:space="preserve">Agenda </w:t>
    </w:r>
    <w:r w:rsidRPr="00FE4B26">
      <w:rPr>
        <w:rFonts w:asciiTheme="minorHAnsi" w:hAnsiTheme="minorHAnsi" w:cstheme="minorHAnsi"/>
        <w:b/>
        <w:bCs/>
        <w:color w:val="FF0000"/>
      </w:rPr>
      <w:ptab w:relativeTo="margin" w:alignment="center" w:leader="none"/>
    </w:r>
    <w:r w:rsidRPr="00FE4B26">
      <w:rPr>
        <w:rFonts w:asciiTheme="minorHAnsi" w:hAnsiTheme="minorHAnsi" w:cstheme="minorHAnsi"/>
        <w:b/>
        <w:bCs/>
        <w:color w:val="FF0000"/>
      </w:rPr>
      <w:ptab w:relativeTo="margin" w:alignment="right" w:leader="none"/>
    </w:r>
    <w:r w:rsidRPr="00FE4B26">
      <w:rPr>
        <w:rFonts w:asciiTheme="minorHAnsi" w:hAnsiTheme="minorHAnsi" w:cstheme="minorHAnsi"/>
        <w:b/>
        <w:bCs/>
        <w:color w:val="FF0000"/>
      </w:rPr>
      <w:t>November 4, 2021</w:t>
    </w:r>
  </w:p>
  <w:p w14:paraId="16F298A4" w14:textId="77777777" w:rsidR="00FE4B26" w:rsidRDefault="00FE4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33C9" w14:textId="77777777" w:rsidR="00FE4B26" w:rsidRDefault="00FE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7DFB" w14:textId="77777777" w:rsidR="00FE4B26" w:rsidRDefault="00FE4B26" w:rsidP="00FE4B26">
      <w:r>
        <w:separator/>
      </w:r>
    </w:p>
  </w:footnote>
  <w:footnote w:type="continuationSeparator" w:id="0">
    <w:p w14:paraId="76632734" w14:textId="77777777" w:rsidR="00FE4B26" w:rsidRDefault="00FE4B26" w:rsidP="00FE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C6B0" w14:textId="77777777" w:rsidR="00FE4B26" w:rsidRDefault="00FE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2A10" w14:textId="77777777" w:rsidR="00FE4B26" w:rsidRDefault="00FE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07BF" w14:textId="77777777" w:rsidR="00FE4B26" w:rsidRDefault="00FE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85A"/>
    <w:multiLevelType w:val="hybridMultilevel"/>
    <w:tmpl w:val="6770949E"/>
    <w:lvl w:ilvl="0" w:tplc="EEF4A6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B632479"/>
    <w:multiLevelType w:val="hybridMultilevel"/>
    <w:tmpl w:val="CBE45F60"/>
    <w:lvl w:ilvl="0" w:tplc="A1AA8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E10B7"/>
    <w:multiLevelType w:val="hybridMultilevel"/>
    <w:tmpl w:val="565A3AF2"/>
    <w:lvl w:ilvl="0" w:tplc="F2E2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D4722"/>
    <w:multiLevelType w:val="hybridMultilevel"/>
    <w:tmpl w:val="565A3AF2"/>
    <w:lvl w:ilvl="0" w:tplc="F2E2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69410A"/>
    <w:multiLevelType w:val="hybridMultilevel"/>
    <w:tmpl w:val="746CB272"/>
    <w:lvl w:ilvl="0" w:tplc="26A00F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2D"/>
    <w:rsid w:val="00080E54"/>
    <w:rsid w:val="000F07B4"/>
    <w:rsid w:val="00250EFA"/>
    <w:rsid w:val="002F0C93"/>
    <w:rsid w:val="0041482D"/>
    <w:rsid w:val="005A3DC6"/>
    <w:rsid w:val="00680DA8"/>
    <w:rsid w:val="00A63A91"/>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C228"/>
  <w15:chartTrackingRefBased/>
  <w15:docId w15:val="{221B9E78-4E1F-4E11-AF02-5FE5F593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0DA8"/>
    <w:rPr>
      <w:rFonts w:ascii="Avenir Next LT Pro Light" w:eastAsiaTheme="majorEastAsia" w:hAnsi="Avenir Next LT Pro Light" w:cstheme="majorBidi"/>
      <w:b/>
      <w:sz w:val="44"/>
      <w:szCs w:val="20"/>
    </w:rPr>
  </w:style>
  <w:style w:type="paragraph" w:styleId="ListParagraph">
    <w:name w:val="List Paragraph"/>
    <w:basedOn w:val="Normal"/>
    <w:uiPriority w:val="34"/>
    <w:qFormat/>
    <w:rsid w:val="0041482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E4B26"/>
    <w:pPr>
      <w:tabs>
        <w:tab w:val="center" w:pos="4680"/>
        <w:tab w:val="right" w:pos="9360"/>
      </w:tabs>
    </w:pPr>
  </w:style>
  <w:style w:type="character" w:customStyle="1" w:styleId="HeaderChar">
    <w:name w:val="Header Char"/>
    <w:basedOn w:val="DefaultParagraphFont"/>
    <w:link w:val="Header"/>
    <w:uiPriority w:val="99"/>
    <w:rsid w:val="00FE4B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B26"/>
    <w:pPr>
      <w:tabs>
        <w:tab w:val="center" w:pos="4680"/>
        <w:tab w:val="right" w:pos="9360"/>
      </w:tabs>
    </w:pPr>
  </w:style>
  <w:style w:type="character" w:customStyle="1" w:styleId="FooterChar">
    <w:name w:val="Footer Char"/>
    <w:basedOn w:val="DefaultParagraphFont"/>
    <w:link w:val="Footer"/>
    <w:uiPriority w:val="99"/>
    <w:rsid w:val="00FE4B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Kivlehan</dc:creator>
  <cp:keywords/>
  <dc:description/>
  <cp:lastModifiedBy>Kathy Kivlehan</cp:lastModifiedBy>
  <cp:revision>4</cp:revision>
  <cp:lastPrinted>2021-10-27T12:15:00Z</cp:lastPrinted>
  <dcterms:created xsi:type="dcterms:W3CDTF">2021-10-22T18:01:00Z</dcterms:created>
  <dcterms:modified xsi:type="dcterms:W3CDTF">2021-10-27T12:15:00Z</dcterms:modified>
</cp:coreProperties>
</file>